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520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single" w:color="auto" w:sz="4"/>
          <w:insideV w:val="single" w:color="auto" w:sz="4"/>
        </w:tblBorders>
      </w:tblPr>
      <w:tblGrid>
        <w:gridCol w:w="7488"/>
        <w:gridCol w:w="4032"/>
      </w:tblGrid>
      <w:tr>
        <w:tc>
          <w:tcPr>
            <w:tcW w:type="dxa" w:w="7488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7F5F2" w:color="auto" w:val="clear"/>
            <w:tcMar>
              <w:top w:type="dxa" w:w="520"/>
              <w:left w:type="dxa" w:w="480"/>
              <w:bottom w:type="dxa" w:w="440"/>
              <w:right w:type="dxa" w:w="480"/>
            </w:tcMar>
            <w:vAlign w:val="top"/>
          </w:tcPr>
          <w:tbl>
            <w:tblPr>
              <w:tblW w:type="dxa" w:w="6288"/>
              <w:tblBorders>
                <w:top w:val="none" w:color="auto" w:sz="0"/>
                <w:left w:val="none" w:color="auto" w:sz="0"/>
                <w:bottom w:val="none" w:color="auto" w:sz="0"/>
                <w:right w:val="none" w:color="auto" w:sz="0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4688"/>
            </w:tblGrid>
            <w:tr>
              <w:tc>
                <w:tcPr>
                  <w:tcW w:type="dxa" w:w="1600"/>
                  <w:tcBorders>
                    <w:top w:val="none" w:color="auto" w:sz="0"/>
                    <w:left w:val="none" w:color="auto" w:sz="0"/>
                    <w:bottom w:val="none" w:color="auto" w:sz="0"/>
                    <w:right w:val="none" w:color="auto" w:sz="0"/>
                  </w:tcBorders>
                  <w:shd w:fill="F7F5F2" w:color="auto" w:val="clear"/>
                  <w:tcMar>
                    <w:top w:type="dxa" w:w="0"/>
                    <w:left w:type="dxa" w:w="0"/>
                    <w:bottom w:type="dxa" w:w="0"/>
                    <w:right w:type="dxa" w:w="240"/>
                  </w:tcMar>
                  <w:vAlign w:val="center"/>
                </w:tcPr>
                <w:p>
                  <w:r>
                    <w:drawing>
                      <wp:inline distT="0" distB="0" distL="0" distR="0">
                        <wp:extent cx="904875" cy="904875"/>
                        <wp:effectExtent t="0" r="0" b="0" l="0"/>
                        <wp:docPr id="1" name="profile-photo" descr="Nathan Pennington" title="Profile phot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904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4688"/>
                  <w:tcBorders>
                    <w:top w:val="none" w:color="auto" w:sz="0"/>
                    <w:left w:val="none" w:color="auto" w:sz="0"/>
                    <w:bottom w:val="none" w:color="auto" w:sz="0"/>
                    <w:right w:val="none" w:color="auto" w:sz="0"/>
                  </w:tcBorders>
                  <w:shd w:fill="F7F5F2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A1A1A"/>
                      <w:sz w:val="52"/>
                      <w:szCs w:val="52"/>
                    </w:rPr>
                    <w:t xml:space="preserve">Nathan Pennington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777777"/>
                      <w:sz w:val="17"/>
                      <w:szCs w:val="17"/>
                    </w:rPr>
                    <w:t xml:space="preserve">PRODUCT ENGINEERING LEADER</w:t>
                  </w:r>
                </w:p>
              </w:tc>
            </w:tr>
          </w:tbl>
          <w:p/>
        </w:tc>
        <w:tc>
          <w:tcPr>
            <w:tcW w:type="dxa" w:w="4032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E3448" w:color="auto" w:val="clear"/>
            <w:tcMar>
              <w:top w:type="dxa" w:w="420"/>
              <w:left w:type="dxa" w:w="460"/>
              <w:bottom w:type="dxa" w:w="420"/>
              <w:right w:type="dxa" w:w="460"/>
            </w:tcMar>
            <w:vAlign w:val="top"/>
          </w:tcPr>
          <w:p>
            <w:pPr>
              <w:pBdr>
                <w:bottom w:val="single" w:color="C8A882" w:sz="2" w:space="1"/>
              </w:pBdr>
              <w:spacing w:after="120" w:before="280"/>
            </w:pPr>
            <w:r>
              <w:rPr>
                <w:rFonts w:ascii="Arial" w:cs="Arial" w:eastAsia="Arial" w:hAnsi="Arial"/>
                <w:b/>
                <w:bCs/>
                <w:color w:val="C8A882"/>
                <w:sz w:val="17"/>
                <w:szCs w:val="17"/>
              </w:rPr>
              <w:t xml:space="preserve">CONTACT</w:t>
            </w:r>
          </w:p>
          <w:p>
            <w:pPr>
              <w:spacing w:after="120" w:before="120"/>
            </w:pPr>
            <w:r>
              <w:rPr>
                <w:rFonts w:ascii="Arial" w:cs="Arial" w:eastAsia="Arial" w:hAnsi="Arial"/>
                <w:b/>
                <w:bCs/>
                <w:color w:val="C8A882"/>
                <w:sz w:val="20"/>
                <w:szCs w:val="20"/>
              </w:rPr>
              <w:t xml:space="preserve">@  </w:t>
            </w:r>
            <w:r>
              <w:rPr>
                <w:rFonts w:ascii="Arial" w:cs="Arial" w:eastAsia="Arial" w:hAnsi="Arial"/>
                <w:b/>
                <w:bCs/>
                <w:color w:val="7A9AAA"/>
                <w:sz w:val="14"/>
                <w:szCs w:val="14"/>
              </w:rPr>
              <w:t xml:space="preserve">EMAIL  </w:t>
            </w:r>
            <w:hyperlink w:history="1" r:id="rIdihmixafsqo0fuocy2fafw">
              <w:r>
                <w:rPr>
                  <w:rFonts w:ascii="Arial" w:cs="Arial" w:eastAsia="Arial" w:hAnsi="Arial"/>
                  <w:color w:val="CCCCCC"/>
                  <w:sz w:val="18"/>
                  <w:szCs w:val="18"/>
                </w:rPr>
                <w:t xml:space="preserve">nathanpennington@gmail.com</w:t>
              </w:r>
            </w:hyperlink>
          </w:p>
          <w:p>
            <w:pPr>
              <w:spacing w:after="120" w:before="120"/>
            </w:pPr>
            <w:r>
              <w:rPr>
                <w:rFonts w:ascii="Arial" w:cs="Arial" w:eastAsia="Arial" w:hAnsi="Arial"/>
                <w:b/>
                <w:bCs/>
                <w:color w:val="C8A882"/>
                <w:sz w:val="20"/>
                <w:szCs w:val="20"/>
              </w:rPr>
              <w:t xml:space="preserve">in  </w:t>
            </w:r>
            <w:r>
              <w:rPr>
                <w:rFonts w:ascii="Arial" w:cs="Arial" w:eastAsia="Arial" w:hAnsi="Arial"/>
                <w:b/>
                <w:bCs/>
                <w:color w:val="7A9AAA"/>
                <w:sz w:val="14"/>
                <w:szCs w:val="14"/>
              </w:rPr>
              <w:t xml:space="preserve">LINKEDIN  </w:t>
            </w:r>
            <w:hyperlink w:history="1" r:id="rIdgnhv9w0qy76opcd26tk6u">
              <w:r>
                <w:rPr>
                  <w:rFonts w:ascii="Arial" w:cs="Arial" w:eastAsia="Arial" w:hAnsi="Arial"/>
                  <w:color w:val="CCCCCC"/>
                  <w:sz w:val="18"/>
                  <w:szCs w:val="18"/>
                </w:rPr>
                <w:t xml:space="preserve">LinkedIn Profile</w:t>
              </w:r>
            </w:hyperlink>
          </w:p>
          <w:p>
            <w:pPr>
              <w:spacing w:after="120" w:before="120"/>
            </w:pPr>
            <w:r>
              <w:rPr>
                <w:rFonts w:ascii="Arial" w:cs="Arial" w:eastAsia="Arial" w:hAnsi="Arial"/>
                <w:b/>
                <w:bCs/>
                <w:color w:val="C8A882"/>
                <w:sz w:val="20"/>
                <w:szCs w:val="20"/>
              </w:rPr>
              <w:t xml:space="preserve">◎  </w:t>
            </w:r>
            <w:r>
              <w:rPr>
                <w:rFonts w:ascii="Arial" w:cs="Arial" w:eastAsia="Arial" w:hAnsi="Arial"/>
                <w:b/>
                <w:bCs/>
                <w:color w:val="7A9AAA"/>
                <w:sz w:val="14"/>
                <w:szCs w:val="14"/>
              </w:rPr>
              <w:t xml:space="preserve">LOCATION  </w:t>
            </w:r>
            <w:r>
              <w:rPr>
                <w:rFonts w:ascii="Arial" w:cs="Arial" w:eastAsia="Arial" w:hAnsi="Arial"/>
                <w:color w:val="CCCCCC"/>
                <w:sz w:val="18"/>
                <w:szCs w:val="18"/>
              </w:rPr>
              <w:t xml:space="preserve">USA / South Africa</w:t>
            </w:r>
          </w:p>
        </w:tc>
      </w:tr>
      <w:tr>
        <w:tc>
          <w:tcPr>
            <w:tcW w:type="dxa" w:w="7488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EDE8E1" w:color="auto" w:val="clear"/>
            <w:tcMar>
              <w:top w:type="dxa" w:w="380"/>
              <w:left w:type="dxa" w:w="480"/>
              <w:bottom w:type="dxa" w:w="380"/>
              <w:right w:type="dxa" w:w="480"/>
            </w:tcMar>
            <w:vAlign w:val="top"/>
          </w:tcPr>
          <w:p>
            <w:pPr>
              <w:pBdr>
                <w:bottom w:val="single" w:color="1E3448" w:sz="2" w:space="1"/>
              </w:pBdr>
              <w:spacing w:after="120" w:before="280"/>
            </w:pPr>
            <w:r>
              <w:rPr>
                <w:rFonts w:ascii="Arial" w:cs="Arial" w:eastAsia="Arial" w:hAnsi="Arial"/>
                <w:b/>
                <w:bCs/>
                <w:color w:val="1E3448"/>
                <w:sz w:val="17"/>
                <w:szCs w:val="17"/>
              </w:rPr>
              <w:t xml:space="preserve">PROFILE</w:t>
            </w:r>
          </w:p>
          <w:p>
            <w:pPr>
              <w:spacing w:after="0" w:before="140"/>
            </w:pPr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Commercially focused and entrepreneurial, I lead at the intersection of product, engineering, and business. </w:t>
            </w:r>
            <w:r>
              <w:rPr>
                <w:rFonts w:ascii="Arial" w:cs="Arial" w:eastAsia="Arial" w:hAnsi="Arial"/>
                <w:i/>
                <w:iCs/>
                <w:color w:val="444444"/>
                <w:sz w:val="20"/>
                <w:szCs w:val="20"/>
              </w:rPr>
              <w:t xml:space="preserve">I translate customer needs into scalable, reliable solutions, and build teams where engineering, product, and commercial thinking work as one.</w:t>
            </w:r>
          </w:p>
        </w:tc>
        <w:tc>
          <w:tcPr>
            <w:tcW w:type="dxa" w:w="4032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62839" w:color="auto" w:val="clear"/>
            <w:tcMar>
              <w:top w:type="dxa" w:w="340"/>
              <w:left w:type="dxa" w:w="460"/>
              <w:bottom w:type="dxa" w:w="340"/>
              <w:right w:type="dxa" w:w="460"/>
            </w:tcMar>
            <w:vAlign w:val="top"/>
          </w:tcPr>
          <w:tbl>
            <w:tblPr>
              <w:tblW w:type="dxa" w:w="3112"/>
              <w:tblBorders>
                <w:top w:val="none" w:color="auto" w:sz="0"/>
                <w:left w:val="none" w:color="auto" w:sz="0"/>
                <w:bottom w:val="none" w:color="auto" w:sz="0"/>
                <w:right w:val="none" w:color="auto" w:sz="0"/>
                <w:insideH w:val="single" w:color="auto" w:sz="4"/>
                <w:insideV w:val="single" w:color="auto" w:sz="4"/>
              </w:tblBorders>
            </w:tblPr>
            <w:tblGrid>
              <w:gridCol w:w="1100"/>
              <w:gridCol w:w="2012"/>
            </w:tblGrid>
            <w:tr>
              <w:tc>
                <w:tcPr>
                  <w:tcW w:type="dxa" w:w="1100"/>
                  <w:tcBorders>
                    <w:top w:val="none" w:color="auto" w:sz="0"/>
                    <w:left w:val="none" w:color="auto" w:sz="0"/>
                    <w:bottom w:val="none" w:color="auto" w:sz="0"/>
                    <w:right w:val="none" w:color="auto" w:sz="0"/>
                  </w:tcBorders>
                  <w:shd w:fill="162839" w:color="auto" w:val="clear"/>
                  <w:tcMar>
                    <w:top w:type="dxa" w:w="120"/>
                    <w:left w:type="dxa" w:w="0"/>
                    <w:bottom w:type="dxa" w:w="120"/>
                    <w:right w:type="dxa" w:w="16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C8A882"/>
                      <w:sz w:val="40"/>
                      <w:szCs w:val="40"/>
                    </w:rPr>
                    <w:t xml:space="preserve">18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6A8899"/>
                      <w:sz w:val="14"/>
                      <w:szCs w:val="14"/>
                    </w:rPr>
                    <w:t xml:space="preserve">YEARS</w:t>
                  </w:r>
                </w:p>
              </w:tc>
              <w:tc>
                <w:tcPr>
                  <w:tcW w:type="dxa" w:w="2012"/>
                  <w:tcBorders>
                    <w:top w:val="none" w:color="auto" w:sz="0"/>
                    <w:left w:val="single" w:color="2A4466" w:sz="2" w:space="1"/>
                    <w:bottom w:val="single" w:color="2A4466" w:sz="2" w:space="1"/>
                    <w:right w:val="none" w:color="auto" w:sz="0"/>
                  </w:tcBorders>
                  <w:shd w:fill="162839" w:color="auto" w:val="clear"/>
                  <w:tcMar>
                    <w:top w:type="dxa" w:w="120"/>
                    <w:left w:type="dxa" w:w="160"/>
                    <w:bottom w:type="dxa" w:w="120"/>
                    <w:right w:type="dxa" w:w="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FFFFFF"/>
                      <w:sz w:val="22"/>
                      <w:szCs w:val="22"/>
                    </w:rPr>
                    <w:t xml:space="preserve">Software Engineer</w:t>
                  </w:r>
                </w:p>
              </w:tc>
            </w:tr>
            <w:tr>
              <w:tc>
                <w:tcPr>
                  <w:tcW w:type="dxa" w:w="1100"/>
                  <w:tcBorders>
                    <w:top w:val="none" w:color="auto" w:sz="0"/>
                    <w:left w:val="none" w:color="auto" w:sz="0"/>
                    <w:bottom w:val="none" w:color="auto" w:sz="0"/>
                    <w:right w:val="none" w:color="auto" w:sz="0"/>
                  </w:tcBorders>
                  <w:shd w:fill="162839" w:color="auto" w:val="clear"/>
                  <w:tcMar>
                    <w:top w:type="dxa" w:w="120"/>
                    <w:left w:type="dxa" w:w="0"/>
                    <w:bottom w:type="dxa" w:w="120"/>
                    <w:right w:type="dxa" w:w="16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C8A882"/>
                      <w:sz w:val="40"/>
                      <w:szCs w:val="40"/>
                    </w:rPr>
                    <w:t xml:space="preserve">4.5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6A8899"/>
                      <w:sz w:val="14"/>
                      <w:szCs w:val="14"/>
                    </w:rPr>
                    <w:t xml:space="preserve">YEARS</w:t>
                  </w:r>
                </w:p>
              </w:tc>
              <w:tc>
                <w:tcPr>
                  <w:tcW w:type="dxa" w:w="2012"/>
                  <w:tcBorders>
                    <w:top w:val="none" w:color="auto" w:sz="0"/>
                    <w:left w:val="single" w:color="2A4466" w:sz="2" w:space="1"/>
                    <w:bottom w:val="single" w:color="2A4466" w:sz="2" w:space="1"/>
                    <w:right w:val="none" w:color="auto" w:sz="0"/>
                  </w:tcBorders>
                  <w:shd w:fill="162839" w:color="auto" w:val="clear"/>
                  <w:tcMar>
                    <w:top w:type="dxa" w:w="120"/>
                    <w:left w:type="dxa" w:w="160"/>
                    <w:bottom w:type="dxa" w:w="120"/>
                    <w:right w:type="dxa" w:w="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FFFFFF"/>
                      <w:sz w:val="22"/>
                      <w:szCs w:val="22"/>
                    </w:rPr>
                    <w:t xml:space="preserve">CTO</w:t>
                  </w:r>
                </w:p>
              </w:tc>
            </w:tr>
            <w:tr>
              <w:tc>
                <w:tcPr>
                  <w:tcW w:type="dxa" w:w="1100"/>
                  <w:tcBorders>
                    <w:top w:val="none" w:color="auto" w:sz="0"/>
                    <w:left w:val="none" w:color="auto" w:sz="0"/>
                    <w:bottom w:val="none" w:color="auto" w:sz="0"/>
                    <w:right w:val="none" w:color="auto" w:sz="0"/>
                  </w:tcBorders>
                  <w:shd w:fill="162839" w:color="auto" w:val="clear"/>
                  <w:tcMar>
                    <w:top w:type="dxa" w:w="120"/>
                    <w:left w:type="dxa" w:w="0"/>
                    <w:bottom w:type="dxa" w:w="120"/>
                    <w:right w:type="dxa" w:w="16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C8A882"/>
                      <w:sz w:val="40"/>
                      <w:szCs w:val="40"/>
                    </w:rPr>
                    <w:t xml:space="preserve">4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6A8899"/>
                      <w:sz w:val="14"/>
                      <w:szCs w:val="14"/>
                    </w:rPr>
                    <w:t xml:space="preserve">YEARS</w:t>
                  </w:r>
                </w:p>
              </w:tc>
              <w:tc>
                <w:tcPr>
                  <w:tcW w:type="dxa" w:w="2012"/>
                  <w:tcBorders>
                    <w:top w:val="none" w:color="auto" w:sz="0"/>
                    <w:left w:val="single" w:color="2A4466" w:sz="2" w:space="1"/>
                    <w:bottom w:val="none" w:color="auto" w:sz="0"/>
                    <w:right w:val="none" w:color="auto" w:sz="0"/>
                  </w:tcBorders>
                  <w:shd w:fill="162839" w:color="auto" w:val="clear"/>
                  <w:tcMar>
                    <w:top w:type="dxa" w:w="120"/>
                    <w:left w:type="dxa" w:w="160"/>
                    <w:bottom w:type="dxa" w:w="120"/>
                    <w:right w:type="dxa" w:w="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FFFFFF"/>
                      <w:sz w:val="22"/>
                      <w:szCs w:val="22"/>
                    </w:rPr>
                    <w:t xml:space="preserve">Product Leader</w:t>
                  </w:r>
                </w:p>
              </w:tc>
            </w:tr>
          </w:tbl>
          <w:p/>
        </w:tc>
      </w:tr>
      <w:tr>
        <w:tc>
          <w:tcPr>
            <w:tcW w:type="dxa" w:w="7488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auto" w:val="clear"/>
            <w:tcMar>
              <w:top w:type="dxa" w:w="380"/>
              <w:left w:type="dxa" w:w="480"/>
              <w:bottom w:type="dxa" w:w="380"/>
              <w:right w:type="dxa" w:w="480"/>
            </w:tcMar>
            <w:vAlign w:val="top"/>
          </w:tcPr>
          <w:p>
            <w:pPr>
              <w:pBdr>
                <w:bottom w:val="single" w:color="1E3448" w:sz="2" w:space="1"/>
              </w:pBdr>
              <w:spacing w:after="120" w:before="280"/>
            </w:pPr>
            <w:r>
              <w:rPr>
                <w:rFonts w:ascii="Arial" w:cs="Arial" w:eastAsia="Arial" w:hAnsi="Arial"/>
                <w:b/>
                <w:bCs/>
                <w:color w:val="1E3448"/>
                <w:sz w:val="17"/>
                <w:szCs w:val="17"/>
              </w:rPr>
              <w:t xml:space="preserve">EXPERIENCE</w:t>
            </w:r>
          </w:p>
          <w:p>
            <w:pPr>
              <w:tabs>
                <w:tab w:val="right" w:pos="9026"/>
              </w:tabs>
              <w:spacing w:after="0" w:before="22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CTO &amp; Head of Product</w:t>
            </w: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	2021– Present</w:t>
            </w:r>
          </w:p>
          <w:p>
            <w:pPr>
              <w:spacing w:after="90" w:before="30"/>
            </w:pP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Tripplo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Led technical due diligence for a $1M seed round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led investor technical diligence, articulating architecture, scalability, and security posture while addressing technical risks with clear mitigation plans.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Delivered 99.9% uptime at scale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platform reliably serves high-value clients with an architecture built for scale, stable operations, and predictable incident response.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Redesigned a broken infrastructure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inherited a fragile multi-repo microservices mess on AWS; designed and led the migration to a clean, maintainable monorepo, significantly improving development speed.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Built and hired a high-output team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grew engineering from 3 to 8, prioritising strong ownership, execution, and consistent delivery.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Owned all technology decisions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accountable for every architectural choice, defending technical strategy to investors and customers alike.</w:t>
            </w:r>
          </w:p>
          <w:p>
            <w:pPr>
              <w:tabs>
                <w:tab w:val="right" w:pos="9026"/>
              </w:tabs>
              <w:spacing w:after="0" w:before="22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Head of Software Engineering</w:t>
            </w: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	2021</w:t>
            </w:r>
          </w:p>
          <w:p>
            <w:pPr>
              <w:spacing w:after="90" w:before="30"/>
            </w:pP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English Quest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Owned engineering delivery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introduced process and accountability that got products shipped on time, properly tested, and production-ready.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Bridged engineering and business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worked directly with business owners to translate goals into clear engineering priorities and keep stakeholders aligned.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Stayed hands-on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stepped in to write production code when the team needed capacity, maintaining momentum without lowering standards.</w:t>
            </w:r>
          </w:p>
          <w:p>
            <w:pPr>
              <w:tabs>
                <w:tab w:val="right" w:pos="9026"/>
              </w:tabs>
              <w:spacing w:after="0" w:before="22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Software Consultant</w:t>
            </w: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	2015– 2021</w:t>
            </w:r>
          </w:p>
          <w:p>
            <w:pPr>
              <w:spacing w:after="90" w:before="30"/>
            </w:pP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Independent Consultant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Delivered full-cycle solutions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took projects from requirements through deployment, building scalable web interfaces and backend services end to end.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Trusted as a technical partner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clients repeatedly returned for follow-on work because of reliable delivery, clear communication, and strategic thinking beyond the ticket.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Delivered across industries and borders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shipped for clients in multiple countries and sectors, adapting quickly to new teams, codebases, and business contexts.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Operated effectively in ambiguity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entered unfamiliar environments, identified critical technical questions quickly, and reduced time-to-value in new domains.</w:t>
            </w:r>
          </w:p>
          <w:p>
            <w:pPr>
              <w:tabs>
                <w:tab w:val="right" w:pos="9026"/>
              </w:tabs>
              <w:spacing w:after="0" w:before="22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Software Developer</w:t>
            </w: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	2016– 2021</w:t>
            </w:r>
          </w:p>
          <w:p>
            <w:pPr>
              <w:spacing w:after="90" w:before="30"/>
            </w:pP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C2 Systems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Served as the sole front-end developer for a consumer banking platform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owned delivery of the client-facing application used by regional banks across the U.S., setting front-end standards and driving execution end to end.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Built the application in AngularJS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developed and maintained core user flows, reusable components, and production UI behavior in a large, business-critical front-end codebase.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Translated product and business needs into polished user experiences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worked directly with leadership and engineering partners to ship intuitive interfaces that balanced usability, reliability, and delivery speed.</w:t>
            </w:r>
          </w:p>
          <w:p>
            <w:pPr>
              <w:tabs>
                <w:tab w:val="right" w:pos="9026"/>
              </w:tabs>
              <w:spacing w:after="0" w:before="22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Software Developer</w:t>
            </w: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	2013– 2015</w:t>
            </w:r>
          </w:p>
          <w:p>
            <w:pPr>
              <w:spacing w:after="90" w:before="30"/>
            </w:pP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Bluegrass Digital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Led front-end development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established the front-end stack and UI standards used across multiple client projects.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Partnered with global clients and agencies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worked directly with product owners to define requirements, align expectations, and deliver against scope and timelines.</w:t>
            </w:r>
          </w:p>
          <w:p>
            <w:pPr>
              <w:tabs>
                <w:tab w:val="right" w:pos="9026"/>
              </w:tabs>
              <w:spacing w:after="0" w:before="22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Software Developer</w:t>
            </w: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	2012– 2013</w:t>
            </w:r>
          </w:p>
          <w:p>
            <w:pPr>
              <w:spacing w:after="90" w:before="30"/>
            </w:pP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Future Media Group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Built and maintained the core digital media platform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delivered and supported features in the company's primary product used by media clients.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Delivered flagship sports websites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built the main website for The Stormers, a leading South African rugby franchise.</w:t>
            </w:r>
          </w:p>
          <w:p>
            <w:pPr>
              <w:tabs>
                <w:tab w:val="right" w:pos="9026"/>
              </w:tabs>
              <w:spacing w:after="0" w:before="22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Web Developer</w:t>
            </w: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	2011– 2012</w:t>
            </w:r>
          </w:p>
          <w:p>
            <w:pPr>
              <w:spacing w:after="90" w:before="30"/>
            </w:pP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Dealertrack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Partnered with marketing teams on dealer strategy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worked daily with marketing stakeholders to shape independent dealer marketing and sales websites.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Owned day-to-day production delivery across the portfolio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resolved bugs and production tickets quickly to keep the full set of dealer sites stable and up to date.</w:t>
            </w:r>
          </w:p>
          <w:p>
            <w:pPr>
              <w:tabs>
                <w:tab w:val="right" w:pos="9026"/>
              </w:tabs>
              <w:spacing w:after="0" w:before="22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Web Developer</w:t>
            </w: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	2010– 2011</w:t>
            </w:r>
          </w:p>
          <w:p>
            <w:pPr>
              <w:spacing w:after="90" w:before="30"/>
            </w:pP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AT&amp;T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Developed and maintained enterprise web properties at scale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supported key sections of AT&amp;T's corporate website, one of the largest telecommunications brands in the U.S.</w:t>
            </w:r>
          </w:p>
          <w:p>
            <w:pPr>
              <w:tabs>
                <w:tab w:val="right" w:pos="9026"/>
              </w:tabs>
              <w:spacing w:after="0" w:before="22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Web Developer</w:t>
            </w: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	2007– 2010</w:t>
            </w:r>
          </w:p>
          <w:p>
            <w:pPr>
              <w:spacing w:after="90" w:before="30"/>
            </w:pP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Hilton Worldwide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Developed and maintained brand websites across Hilton's portfolio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delivered web experiences for major brands including Hilton, Hampton Inn, Conrad, DoubleTree, and Embassy Suites.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Partnered directly with hotel marketing directors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translated campaign and event requirements into production-ready site updates.</w:t>
            </w:r>
          </w:p>
        </w:tc>
        <w:tc>
          <w:tcPr>
            <w:tcW w:type="dxa" w:w="4032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E3448" w:color="auto" w:val="clear"/>
            <w:tcMar>
              <w:top w:type="dxa" w:w="400"/>
              <w:left w:type="dxa" w:w="460"/>
              <w:bottom w:type="dxa" w:w="400"/>
              <w:right w:type="dxa" w:w="460"/>
            </w:tcMar>
            <w:vAlign w:val="top"/>
          </w:tcPr>
          <w:p>
            <w:pPr>
              <w:pBdr>
                <w:bottom w:val="single" w:color="C8A882" w:sz="2" w:space="1"/>
              </w:pBdr>
              <w:spacing w:after="120" w:before="280"/>
            </w:pPr>
            <w:r>
              <w:rPr>
                <w:rFonts w:ascii="Arial" w:cs="Arial" w:eastAsia="Arial" w:hAnsi="Arial"/>
                <w:b/>
                <w:bCs/>
                <w:color w:val="C8A882"/>
                <w:sz w:val="17"/>
                <w:szCs w:val="17"/>
              </w:rPr>
              <w:t xml:space="preserve">KEY LEADERSHIP &amp; TECHNICAL STRENGTHS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70" w:before="70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Full-Stack Development &amp; Programming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70" w:before="70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Product Engineering Leadership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70" w:before="70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System Design &amp; Architecture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70" w:before="70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Platform Scalability &amp; Reliability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70" w:before="70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Cross-Functional Delivery (Product, Engineering, Commercial)</w:t>
            </w:r>
          </w:p>
          <w:p>
            <w:pPr>
              <w:pBdr>
                <w:bottom w:val="single" w:color="C8A882" w:sz="2" w:space="1"/>
              </w:pBdr>
              <w:spacing w:after="120" w:before="280"/>
            </w:pPr>
            <w:r>
              <w:rPr>
                <w:rFonts w:ascii="Arial" w:cs="Arial" w:eastAsia="Arial" w:hAnsi="Arial"/>
                <w:b/>
                <w:bCs/>
                <w:color w:val="C8A882"/>
                <w:sz w:val="17"/>
                <w:szCs w:val="17"/>
              </w:rPr>
              <w:t xml:space="preserve">TECHNOLOGY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70" w:before="70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Full-Stack JavaScript / TypeScript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70" w:before="70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Node.js &amp; API Development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70" w:before="70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Data Engineering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70" w:before="70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Modern Web Applications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70" w:before="70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Cloud Services (AWS / Azure)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70" w:before="70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Data &amp; Platform Integrations</w:t>
            </w:r>
          </w:p>
          <w:p>
            <w:pPr>
              <w:pBdr>
                <w:bottom w:val="single" w:color="C8A882" w:sz="2" w:space="1"/>
              </w:pBdr>
              <w:spacing w:after="120" w:before="280"/>
            </w:pPr>
            <w:r>
              <w:rPr>
                <w:rFonts w:ascii="Arial" w:cs="Arial" w:eastAsia="Arial" w:hAnsi="Arial"/>
                <w:b/>
                <w:bCs/>
                <w:color w:val="C8A882"/>
                <w:sz w:val="17"/>
                <w:szCs w:val="17"/>
              </w:rPr>
              <w:t xml:space="preserve">INDUSTRIES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70" w:before="70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Logistics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70" w:before="70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Banking &amp; Fintech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70" w:before="70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Language Platforms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70" w:before="70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Hospitality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70" w:before="70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Telecommunications</w:t>
            </w:r>
          </w:p>
          <w:p>
            <w:pPr>
              <w:pBdr>
                <w:bottom w:val="single" w:color="C8A882" w:sz="2" w:space="1"/>
              </w:pBdr>
              <w:spacing w:after="120" w:before="280"/>
            </w:pPr>
            <w:r>
              <w:rPr>
                <w:rFonts w:ascii="Arial" w:cs="Arial" w:eastAsia="Arial" w:hAnsi="Arial"/>
                <w:b/>
                <w:bCs/>
                <w:color w:val="C8A882"/>
                <w:sz w:val="17"/>
                <w:szCs w:val="17"/>
              </w:rPr>
              <w:t xml:space="preserve">EDUCATION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70" w:before="70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Bachelor of Science</w:t>
            </w:r>
          </w:p>
          <w:p>
            <w:pPr>
              <w:spacing w:after="70" w:before="0"/>
            </w:pPr>
            <w:r>
              <w:rPr>
                <w:rFonts w:ascii="Arial" w:cs="Arial" w:eastAsia="Arial" w:hAnsi="Arial"/>
                <w:color w:val="9FB0BF"/>
                <w:sz w:val="17"/>
                <w:szCs w:val="17"/>
              </w:rPr>
              <w:t xml:space="preserve">   University of North Texas</w:t>
            </w:r>
          </w:p>
        </w:tc>
      </w:tr>
    </w:tbl>
    <w:sectPr>
      <w:pgSz w:w="12240" w:h="15840" w:orient="portrait"/>
      <w:pgMar w:top="360" w:right="360" w:bottom="360" w:left="3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80" w:hanging="20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·"/>
      <w:lvlJc w:val="left"/>
      <w:pPr>
        <w:ind w:left="340" w:hanging="180"/>
      </w:pPr>
      <w:rPr>
        <w:b/>
        <w:bCs/>
        <w:color w:val="C8A882"/>
        <w:sz w:val="26"/>
        <w:szCs w:val="26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ihmixafsqo0fuocy2fafw" Type="http://schemas.openxmlformats.org/officeDocument/2006/relationships/hyperlink" Target="mailto:nathanpennington@gmail.com" TargetMode="External"/><Relationship Id="rIdgnhv9w0qy76opcd26tk6u" Type="http://schemas.openxmlformats.org/officeDocument/2006/relationships/hyperlink" Target="#" TargetMode="External"/><Relationship Id="rId7" Type="http://schemas.openxmlformats.org/officeDocument/2006/relationships/image" Target="media/ab3b1c21bea5f9f609fa3c7a74e410fcc9ee5f6c.jp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2026-04-14T14:05:37.250Z</dcterms:created>
  <dcterms:modified xsi:type="dcterms:W3CDTF">2026-04-14T14:05:37.256Z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